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tabs>
          <w:tab w:val="right" w:pos="10800" w:leader="underscore"/>
        </w:tabs>
        <w:spacing w:after="120"/>
      </w:pPr>
      <w:r>
        <w:rPr>
          <w:rtl w:val="0"/>
          <w:lang w:val="en-US"/>
        </w:rPr>
        <w:t>Sometimes we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people; humans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 xml:space="preserve">may give </w:t>
      </w: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reasons</w:t>
      </w:r>
      <w:r>
        <w:rPr>
          <w:rtl w:val="0"/>
        </w:rPr>
        <w:t xml:space="preserve">” </w:t>
      </w:r>
      <w:r>
        <w:rPr>
          <w:rtl w:val="0"/>
          <w:lang w:val="en-US"/>
        </w:rPr>
        <w:t xml:space="preserve">for our choices, though they may actually be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excuses</w:t>
      </w:r>
      <w:r>
        <w:rPr>
          <w:rtl w:val="0"/>
          <w:lang w:val="en-US"/>
        </w:rPr>
        <w:t xml:space="preserve">” </w:t>
      </w:r>
      <w:r>
        <w:rPr>
          <w:i w:val="1"/>
          <w:iCs w:val="1"/>
          <w:rtl w:val="0"/>
          <w:lang w:val="en-US"/>
        </w:rPr>
        <w:t>without foundation in common sense</w:t>
      </w:r>
      <w:r>
        <w:rPr>
          <w:rtl w:val="0"/>
          <w:lang w:val="en-US"/>
        </w:rPr>
        <w:t xml:space="preserve">, and/or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arguments</w:t>
      </w:r>
      <w:r>
        <w:rPr>
          <w:rtl w:val="0"/>
          <w:lang w:val="en-US"/>
        </w:rPr>
        <w:t xml:space="preserve">” </w:t>
      </w:r>
      <w:r>
        <w:rPr>
          <w:i w:val="1"/>
          <w:iCs w:val="1"/>
          <w:rtl w:val="0"/>
          <w:lang w:val="en-US"/>
        </w:rPr>
        <w:t xml:space="preserve">without foundation in </w:t>
      </w:r>
      <w:r>
        <w:rPr>
          <w:i w:val="1"/>
          <w:iCs w:val="1"/>
          <w:rtl w:val="0"/>
          <w:lang w:val="fr-FR"/>
        </w:rPr>
        <w:t>Scripture</w:t>
      </w:r>
      <w:r>
        <w:rPr>
          <w:rtl w:val="0"/>
          <w:lang w:val="en-US"/>
        </w:rPr>
        <w:t xml:space="preserve">. They may sound pretty good to us, and to those who benefit from our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reasoning,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but God is not impressed </w:t>
      </w:r>
      <w:r>
        <w:rPr>
          <w:rtl w:val="0"/>
          <w:lang w:val="en-US"/>
        </w:rPr>
        <w:t xml:space="preserve">… </w:t>
      </w:r>
      <w:r>
        <w:rPr>
          <w:rtl w:val="0"/>
          <w:lang w:val="en-US"/>
        </w:rPr>
        <w:t xml:space="preserve">well, not in a </w:t>
      </w:r>
      <w:r>
        <w:rPr>
          <w:rtl w:val="0"/>
          <w:lang w:val="fr-FR"/>
        </w:rPr>
        <w:t>favorable</w:t>
      </w:r>
      <w:r>
        <w:rPr>
          <w:rtl w:val="0"/>
          <w:lang w:val="en-US"/>
        </w:rPr>
        <w:t xml:space="preserve"> way. Read </w:t>
      </w:r>
      <w:r>
        <w:rPr>
          <w:b w:val="1"/>
          <w:bCs w:val="1"/>
          <w:rtl w:val="0"/>
          <w:lang w:val="en-US"/>
        </w:rPr>
        <w:t>Lk 14:15-24</w:t>
      </w:r>
      <w:r>
        <w:rPr>
          <w:rtl w:val="0"/>
          <w:lang w:val="en-US"/>
        </w:rPr>
        <w:t xml:space="preserve">; </w:t>
      </w:r>
      <w:r>
        <w:rPr>
          <w:b w:val="1"/>
          <w:bCs w:val="1"/>
          <w:rtl w:val="0"/>
          <w:lang w:val="en-US"/>
        </w:rPr>
        <w:t>Mt 22:23-33</w:t>
      </w:r>
      <w:r>
        <w:rPr>
          <w:rtl w:val="0"/>
          <w:lang w:val="en-US"/>
        </w:rPr>
        <w:t>.</w:t>
      </w:r>
    </w:p>
    <w:p>
      <w:pPr>
        <w:pStyle w:val="Body"/>
        <w:tabs>
          <w:tab w:val="right" w:pos="10800" w:leader="underscore"/>
        </w:tabs>
        <w:spacing w:after="120"/>
      </w:pPr>
      <w:r>
        <w:rPr>
          <w:rtl w:val="0"/>
          <w:lang w:val="en-US"/>
        </w:rPr>
        <w:t>Let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begin with the two passages you just read.</w:t>
      </w:r>
    </w:p>
    <w:p>
      <w:pPr>
        <w:pStyle w:val="Body"/>
        <w:numPr>
          <w:ilvl w:val="0"/>
          <w:numId w:val="2"/>
        </w:numPr>
        <w:rPr>
          <w:lang w:val="en-US"/>
        </w:rPr>
      </w:pPr>
      <w:r>
        <w:rPr>
          <w:b w:val="1"/>
          <w:bCs w:val="1"/>
          <w:rtl w:val="0"/>
          <w:lang w:val="en-US"/>
        </w:rPr>
        <w:t>Lk 14:15-24</w:t>
      </w: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 xml:space="preserve">What is it in the illustrations Jesus gives that reveals that the </w:t>
      </w: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reasons</w:t>
      </w:r>
      <w:r>
        <w:rPr>
          <w:rtl w:val="0"/>
        </w:rPr>
        <w:t xml:space="preserve">” </w:t>
      </w:r>
      <w:r>
        <w:rPr>
          <w:rtl w:val="0"/>
          <w:lang w:val="en-US"/>
        </w:rPr>
        <w:t xml:space="preserve">given for not going to the dinner invitation were </w:t>
      </w: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excuses</w:t>
      </w:r>
      <w:r>
        <w:rPr>
          <w:rtl w:val="0"/>
        </w:rPr>
        <w:t xml:space="preserve">” </w:t>
      </w:r>
      <w:r>
        <w:rPr>
          <w:rtl w:val="0"/>
          <w:lang w:val="en-US"/>
        </w:rPr>
        <w:t>(</w:t>
      </w:r>
      <w:r>
        <w:rPr>
          <w:b w:val="1"/>
          <w:bCs w:val="1"/>
          <w:rtl w:val="0"/>
          <w:lang w:val="en-US"/>
        </w:rPr>
        <w:t>v18</w:t>
      </w:r>
      <w:r>
        <w:rPr>
          <w:rtl w:val="0"/>
          <w:lang w:val="en-US"/>
        </w:rPr>
        <w:t xml:space="preserve">) </w:t>
      </w:r>
      <w:r>
        <w:rPr>
          <w:rtl w:val="0"/>
          <w:lang w:val="en-US"/>
        </w:rPr>
        <w:t>rather than based on a sound foundation in common sense?</w:t>
      </w:r>
    </w:p>
    <w:p>
      <w:pPr>
        <w:pStyle w:val="Body"/>
        <w:tabs>
          <w:tab w:val="right" w:pos="10800" w:leader="underscore"/>
        </w:tabs>
        <w:ind w:left="720"/>
        <w:rPr>
          <w:outline w:val="0"/>
          <w:color w:val="0432ff"/>
          <w:sz w:val="22"/>
          <w:szCs w:val="22"/>
          <w14:textFill>
            <w14:solidFill>
              <w14:srgbClr w14:val="0433FF"/>
            </w14:solidFill>
          </w14:textFill>
        </w:rPr>
      </w:pPr>
      <w:r>
        <w:rPr>
          <w:i w:val="1"/>
          <w:iCs w:val="1"/>
          <w:outline w:val="0"/>
          <w:color w:val="000000"/>
          <w:sz w:val="22"/>
          <w:szCs w:val="22"/>
          <w:rtl w:val="0"/>
          <w:lang w:val="en-US"/>
          <w14:textFill>
            <w14:solidFill>
              <w14:srgbClr w14:val="000000"/>
            </w14:solidFill>
          </w14:textFill>
        </w:rPr>
        <w:t>“</w:t>
      </w:r>
      <w:r>
        <w:rPr>
          <w:outline w:val="0"/>
          <w:color w:val="000000"/>
          <w:sz w:val="22"/>
          <w:szCs w:val="22"/>
          <w:rtl w:val="0"/>
          <w:lang w:val="en-US"/>
          <w14:textFill>
            <w14:solidFill>
              <w14:srgbClr w14:val="000000"/>
            </w14:solidFill>
          </w14:textFill>
        </w:rPr>
        <w:t xml:space="preserve">Common Sense refers to </w:t>
      </w:r>
      <w:r>
        <w:rPr>
          <w:b w:val="1"/>
          <w:bCs w:val="1"/>
          <w:outline w:val="0"/>
          <w:color w:val="000000"/>
          <w:sz w:val="22"/>
          <w:szCs w:val="22"/>
          <w:rtl w:val="0"/>
          <w:lang w:val="en-US"/>
          <w14:textFill>
            <w14:solidFill>
              <w14:srgbClr w14:val="000000"/>
            </w14:solidFill>
          </w14:textFill>
        </w:rPr>
        <w:t>sound practical judgment</w:t>
      </w:r>
      <w:r>
        <w:rPr>
          <w:outline w:val="0"/>
          <w:color w:val="000000"/>
          <w:sz w:val="22"/>
          <w:szCs w:val="22"/>
          <w:rtl w:val="0"/>
          <w:lang w:val="en-US"/>
          <w14:textFill>
            <w14:solidFill>
              <w14:srgbClr w14:val="000000"/>
            </w14:solidFill>
          </w14:textFill>
        </w:rPr>
        <w:t xml:space="preserve"> concerning everyday matters or a basic ability to perceive, understand, and judge in a manner </w:t>
      </w:r>
      <w:r>
        <w:rPr>
          <w:b w:val="1"/>
          <w:bCs w:val="1"/>
          <w:outline w:val="0"/>
          <w:color w:val="000000"/>
          <w:sz w:val="22"/>
          <w:szCs w:val="22"/>
          <w:rtl w:val="0"/>
          <w:lang w:val="en-US"/>
          <w14:textFill>
            <w14:solidFill>
              <w14:srgbClr w14:val="000000"/>
            </w14:solidFill>
          </w14:textFill>
        </w:rPr>
        <w:t>that is shared by (or common to) nearly all people</w:t>
      </w:r>
      <w:r>
        <w:rPr>
          <w:outline w:val="0"/>
          <w:color w:val="000000"/>
          <w:sz w:val="22"/>
          <w:szCs w:val="22"/>
          <w:rtl w:val="0"/>
          <w14:textFill>
            <w14:solidFill>
              <w14:srgbClr w14:val="000000"/>
            </w14:solidFill>
          </w14:textFill>
        </w:rPr>
        <w:t>.</w:t>
      </w:r>
      <w:r>
        <w:rPr>
          <w:outline w:val="0"/>
          <w:color w:val="000000"/>
          <w:sz w:val="22"/>
          <w:szCs w:val="22"/>
          <w:rtl w:val="0"/>
          <w:lang w:val="en-US"/>
          <w14:textFill>
            <w14:solidFill>
              <w14:srgbClr w14:val="000000"/>
            </w14:solidFill>
          </w14:textFill>
        </w:rPr>
        <w:t xml:space="preserve">” </w:t>
      </w:r>
      <w:r>
        <w:rPr>
          <w:i w:val="1"/>
          <w:iCs w:val="1"/>
          <w:outline w:val="0"/>
          <w:color w:val="000000"/>
          <w:sz w:val="22"/>
          <w:szCs w:val="22"/>
          <w:rtl w:val="0"/>
          <w:lang w:val="en-US"/>
          <w14:textFill>
            <w14:solidFill>
              <w14:srgbClr w14:val="000000"/>
            </w14:solidFill>
          </w14:textFill>
        </w:rPr>
        <w:t>Wikipedia</w:t>
      </w:r>
    </w:p>
    <w:p>
      <w:pPr>
        <w:pStyle w:val="Body"/>
        <w:tabs>
          <w:tab w:val="right" w:pos="10800" w:leader="underscore"/>
        </w:tabs>
        <w:ind w:left="360"/>
        <w:rPr>
          <w:sz w:val="16"/>
          <w:szCs w:val="16"/>
        </w:rPr>
      </w:pPr>
    </w:p>
    <w:p>
      <w:pPr>
        <w:pStyle w:val="Body"/>
        <w:tabs>
          <w:tab w:val="right" w:pos="10800" w:leader="underscore"/>
        </w:tabs>
        <w:ind w:left="360"/>
      </w:pPr>
      <w:r>
        <w:rPr>
          <w:rtl w:val="0"/>
          <w:lang w:val="en-US"/>
        </w:rPr>
        <w:t xml:space="preserve">Compare the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reasons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people (we?) give for not going to a church assembly; for not reading the Bible regularly; for not praying daily; etc. </w:t>
      </w:r>
      <w:r>
        <w:rPr>
          <w:rtl w:val="0"/>
          <w:lang w:val="en-US"/>
        </w:rPr>
        <w:t xml:space="preserve">— </w:t>
      </w:r>
      <w:r>
        <w:rPr>
          <w:rtl w:val="0"/>
          <w:lang w:val="en-US"/>
        </w:rPr>
        <w:t xml:space="preserve">Q: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reasons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or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excuses</w:t>
      </w:r>
      <w:r>
        <w:rPr>
          <w:rtl w:val="0"/>
          <w:lang w:val="en-US"/>
        </w:rPr>
        <w:t>”</w:t>
      </w:r>
      <w:r>
        <w:rPr>
          <w:rtl w:val="0"/>
          <w:lang w:val="en-US"/>
        </w:rPr>
        <w:t>?</w:t>
      </w:r>
    </w:p>
    <w:p>
      <w:pPr>
        <w:pStyle w:val="Body"/>
        <w:tabs>
          <w:tab w:val="right" w:pos="10800" w:leader="underscore"/>
        </w:tabs>
        <w:ind w:left="360"/>
        <w:rPr>
          <w:i w:val="1"/>
          <w:iCs w:val="1"/>
        </w:rPr>
      </w:pPr>
    </w:p>
    <w:p>
      <w:pPr>
        <w:pStyle w:val="Body"/>
        <w:tabs>
          <w:tab w:val="right" w:pos="10800" w:leader="underscore"/>
        </w:tabs>
        <w:ind w:left="360"/>
        <w:rPr>
          <w:sz w:val="20"/>
          <w:szCs w:val="20"/>
        </w:rPr>
      </w:pPr>
      <w:r>
        <w:rPr>
          <w:sz w:val="20"/>
          <w:szCs w:val="20"/>
        </w:rPr>
        <mc:AlternateContent>
          <mc:Choice Requires="wps">
            <w:drawing xmlns:a="http://schemas.openxmlformats.org/drawingml/2006/main">
              <wp:anchor distT="152400" distB="152400" distL="152400" distR="152400" simplePos="0" relativeHeight="251659264" behindDoc="0" locked="0" layoutInCell="1" allowOverlap="1">
                <wp:simplePos x="0" y="0"/>
                <wp:positionH relativeFrom="margin">
                  <wp:posOffset>1933932</wp:posOffset>
                </wp:positionH>
                <wp:positionV relativeFrom="page">
                  <wp:posOffset>386372</wp:posOffset>
                </wp:positionV>
                <wp:extent cx="2990136" cy="357848"/>
                <wp:effectExtent l="0" t="0" r="0" b="0"/>
                <wp:wrapNone/>
                <wp:docPr id="1073741825" name="officeArt object" descr="Sun 5pm - Feb 22, 2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136" cy="357848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Body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z w:val="34"/>
                                <w:szCs w:val="34"/>
                                <w:rtl w:val="0"/>
                                <w:lang w:val="en-US"/>
                              </w:rPr>
                              <w:t>Sun 5pm - Feb 22, 2026</w:t>
                            </w:r>
                          </w:p>
                        </w:txbxContent>
                      </wps:txbx>
                      <wps:bodyPr wrap="square" lIns="25400" tIns="25400" rIns="25400" bIns="254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152.3pt;margin-top:30.4pt;width:235.4pt;height:28.2pt;z-index:251659264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ody"/>
                        <w:jc w:val="center"/>
                      </w:pPr>
                      <w:r>
                        <w:rPr>
                          <w:rFonts w:ascii="Arial Black" w:hAnsi="Arial Black"/>
                          <w:sz w:val="34"/>
                          <w:szCs w:val="34"/>
                          <w:rtl w:val="0"/>
                          <w:lang w:val="en-US"/>
                        </w:rPr>
                        <w:t>Sun 5pm - Feb 22, 2026</w:t>
                      </w:r>
                    </w:p>
                  </w:txbxContent>
                </v:textbox>
                <w10:wrap type="none" side="bothSides" anchorx="margin" anchory="page"/>
              </v:shape>
            </w:pict>
          </mc:Fallback>
        </mc:AlternateContent>
      </w:r>
    </w:p>
    <w:p>
      <w:pPr>
        <w:pStyle w:val="Body"/>
        <w:numPr>
          <w:ilvl w:val="0"/>
          <w:numId w:val="2"/>
        </w:numPr>
        <w:spacing w:before="60"/>
        <w:rPr>
          <w:lang w:val="en-US"/>
        </w:rPr>
      </w:pPr>
      <w:r>
        <w:rPr>
          <w:b w:val="1"/>
          <w:bCs w:val="1"/>
          <w:rtl w:val="0"/>
          <w:lang w:val="en-US"/>
        </w:rPr>
        <w:t>Mt 22:23-33</w:t>
      </w:r>
      <w:r>
        <w:rPr>
          <w:rtl w:val="0"/>
          <w:lang w:val="en-US"/>
        </w:rPr>
        <w:t xml:space="preserve"> - What did Jesus say about the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evidence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they gave in Scripture, </w:t>
      </w:r>
      <w:r>
        <w:rPr>
          <w:b w:val="1"/>
          <w:bCs w:val="1"/>
          <w:rtl w:val="0"/>
          <w:lang w:val="en-US"/>
        </w:rPr>
        <w:t>vv29,31-32</w:t>
      </w:r>
      <w:r>
        <w:rPr>
          <w:rtl w:val="0"/>
          <w:lang w:val="en-US"/>
        </w:rPr>
        <w:t xml:space="preserve">? </w:t>
      </w:r>
    </w:p>
    <w:p>
      <w:pPr>
        <w:pStyle w:val="Body"/>
        <w:numPr>
          <w:ilvl w:val="1"/>
          <w:numId w:val="2"/>
        </w:numPr>
        <w:spacing w:before="120"/>
        <w:rPr>
          <w:lang w:val="en-US"/>
        </w:rPr>
      </w:pPr>
      <w:r>
        <w:rPr>
          <w:rtl w:val="0"/>
          <w:lang w:val="en-US"/>
        </w:rPr>
        <w:t xml:space="preserve">We are encouraged to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test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(NKJV, ESV) or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examine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(NAS95) or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prove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(ASV) all things, </w:t>
      </w:r>
      <w:r>
        <w:rPr>
          <w:b w:val="1"/>
          <w:bCs w:val="1"/>
          <w:rtl w:val="0"/>
          <w:lang w:val="en-US"/>
        </w:rPr>
        <w:t>1Th 5:21</w:t>
      </w:r>
      <w:r>
        <w:rPr>
          <w:rtl w:val="0"/>
          <w:lang w:val="en-US"/>
        </w:rPr>
        <w:t xml:space="preserve">. If we combine this admonition with the example in </w:t>
      </w:r>
      <w:r>
        <w:rPr>
          <w:b w:val="1"/>
          <w:bCs w:val="1"/>
          <w:rtl w:val="0"/>
          <w:lang w:val="en-US"/>
        </w:rPr>
        <w:t>Mt 22:23f</w:t>
      </w:r>
      <w:r>
        <w:rPr>
          <w:rtl w:val="0"/>
          <w:lang w:val="en-US"/>
        </w:rPr>
        <w:t xml:space="preserve">, does that say anything about the importance of developing skills that will help guard us against falling into this trap, </w:t>
      </w:r>
      <w:r>
        <w:rPr>
          <w:rtl w:val="0"/>
          <w:lang w:val="en-US"/>
        </w:rPr>
        <w:t>and if so, what kind of skills</w:t>
      </w:r>
      <w:r>
        <w:rPr>
          <w:rtl w:val="0"/>
          <w:lang w:val="en-US"/>
        </w:rPr>
        <w:t>?</w:t>
      </w:r>
    </w:p>
    <w:p>
      <w:pPr>
        <w:pStyle w:val="Body"/>
        <w:tabs>
          <w:tab w:val="right" w:pos="10800" w:leader="underscore"/>
        </w:tabs>
        <w:spacing w:before="120"/>
        <w:ind w:left="720"/>
        <w:rPr>
          <w:i w:val="1"/>
          <w:iCs w:val="1"/>
          <w:outline w:val="0"/>
          <w:color w:val="0432ff"/>
          <w:sz w:val="22"/>
          <w:szCs w:val="22"/>
          <w14:textFill>
            <w14:solidFill>
              <w14:srgbClr w14:val="0433FF"/>
            </w14:solidFill>
          </w14:textFill>
        </w:rPr>
      </w:pPr>
    </w:p>
    <w:p>
      <w:pPr>
        <w:pStyle w:val="Body"/>
        <w:numPr>
          <w:ilvl w:val="1"/>
          <w:numId w:val="2"/>
        </w:numPr>
        <w:spacing w:before="120"/>
        <w:rPr>
          <w:lang w:val="en-US"/>
        </w:rPr>
      </w:pPr>
      <w:r>
        <w:rPr>
          <w:rtl w:val="0"/>
          <w:lang w:val="en-US"/>
        </w:rPr>
        <w:t xml:space="preserve">What does </w:t>
      </w:r>
      <w:r>
        <w:rPr>
          <w:b w:val="1"/>
          <w:bCs w:val="1"/>
          <w:rtl w:val="0"/>
          <w:lang w:val="en-US"/>
        </w:rPr>
        <w:t>2Pt 3:15-16</w:t>
      </w:r>
      <w:r>
        <w:rPr>
          <w:rtl w:val="0"/>
          <w:lang w:val="en-US"/>
        </w:rPr>
        <w:t xml:space="preserve"> warn about and what is encouraged as a defense in </w:t>
      </w:r>
      <w:r>
        <w:rPr>
          <w:b w:val="1"/>
          <w:bCs w:val="1"/>
          <w:rtl w:val="0"/>
          <w:lang w:val="en-US"/>
        </w:rPr>
        <w:t>vv 17-18</w:t>
      </w:r>
      <w:r>
        <w:rPr>
          <w:rtl w:val="0"/>
          <w:lang w:val="en-US"/>
        </w:rPr>
        <w:t>?</w:t>
      </w:r>
    </w:p>
    <w:p>
      <w:pPr>
        <w:pStyle w:val="Body"/>
        <w:tabs>
          <w:tab w:val="right" w:pos="10800" w:leader="underscore"/>
        </w:tabs>
        <w:spacing w:before="120"/>
        <w:ind w:left="720"/>
        <w:rPr>
          <w:outline w:val="0"/>
          <w:color w:val="0432ff"/>
          <w:sz w:val="22"/>
          <w:szCs w:val="22"/>
          <w14:textFill>
            <w14:solidFill>
              <w14:srgbClr w14:val="0433FF"/>
            </w14:solidFill>
          </w14:textFill>
        </w:rPr>
      </w:pPr>
    </w:p>
    <w:p>
      <w:pPr>
        <w:pStyle w:val="Body"/>
        <w:numPr>
          <w:ilvl w:val="0"/>
          <w:numId w:val="2"/>
        </w:numPr>
        <w:spacing w:before="120"/>
        <w:rPr>
          <w:lang w:val="en-US"/>
        </w:rPr>
      </w:pPr>
      <w:r>
        <w:rPr>
          <w:rtl w:val="0"/>
          <w:lang w:val="en-US"/>
        </w:rPr>
        <w:t xml:space="preserve">On what did the following people base their belief </w:t>
      </w:r>
      <w:r>
        <w:rPr>
          <w:rtl w:val="0"/>
          <w:lang w:val="en-US"/>
        </w:rPr>
        <w:t>…</w:t>
      </w:r>
    </w:p>
    <w:p>
      <w:pPr>
        <w:pStyle w:val="Body"/>
        <w:numPr>
          <w:ilvl w:val="1"/>
          <w:numId w:val="2"/>
        </w:numPr>
        <w:spacing w:before="120"/>
        <w:rPr>
          <w:lang w:val="en-US"/>
        </w:rPr>
      </w:pPr>
      <w:r>
        <w:rPr>
          <w:b w:val="1"/>
          <w:bCs w:val="1"/>
          <w:rtl w:val="0"/>
          <w:lang w:val="en-US"/>
        </w:rPr>
        <w:t>2Ki 5:11-12</w:t>
      </w:r>
    </w:p>
    <w:p>
      <w:pPr>
        <w:pStyle w:val="Body"/>
        <w:tabs>
          <w:tab w:val="right" w:pos="10800" w:leader="underscore"/>
        </w:tabs>
        <w:spacing w:before="120"/>
      </w:pPr>
    </w:p>
    <w:p>
      <w:pPr>
        <w:pStyle w:val="Body"/>
        <w:numPr>
          <w:ilvl w:val="1"/>
          <w:numId w:val="2"/>
        </w:numPr>
        <w:spacing w:before="120"/>
        <w:rPr>
          <w:lang w:val="en-US"/>
        </w:rPr>
      </w:pPr>
      <w:r>
        <w:rPr>
          <w:b w:val="1"/>
          <w:bCs w:val="1"/>
          <w:rtl w:val="0"/>
          <w:lang w:val="en-US"/>
        </w:rPr>
        <w:t>Ac 26:9</w:t>
      </w:r>
      <w:r>
        <w:rPr>
          <w:rtl w:val="0"/>
          <w:lang w:val="en-US"/>
        </w:rPr>
        <w:t xml:space="preserve">. Note </w:t>
      </w:r>
      <w:r>
        <w:rPr>
          <w:b w:val="1"/>
          <w:bCs w:val="1"/>
          <w:rtl w:val="0"/>
          <w:lang w:val="en-US"/>
        </w:rPr>
        <w:t>Ac 23:1</w:t>
      </w:r>
      <w:r>
        <w:rPr>
          <w:rtl w:val="0"/>
          <w:lang w:val="en-US"/>
        </w:rPr>
        <w:t>.</w:t>
      </w:r>
    </w:p>
    <w:p>
      <w:pPr>
        <w:pStyle w:val="Body"/>
        <w:tabs>
          <w:tab w:val="right" w:pos="10800" w:leader="underscore"/>
        </w:tabs>
        <w:spacing w:before="120"/>
        <w:rPr>
          <w:outline w:val="0"/>
          <w:color w:val="0432ff"/>
          <w:sz w:val="22"/>
          <w:szCs w:val="22"/>
          <w14:textFill>
            <w14:solidFill>
              <w14:srgbClr w14:val="0433FF"/>
            </w14:solidFill>
          </w14:textFill>
        </w:rPr>
      </w:pPr>
    </w:p>
    <w:p>
      <w:pPr>
        <w:pStyle w:val="Body"/>
        <w:numPr>
          <w:ilvl w:val="0"/>
          <w:numId w:val="2"/>
        </w:numPr>
        <w:spacing w:before="120"/>
        <w:rPr>
          <w:lang w:val="en-US"/>
        </w:rPr>
      </w:pPr>
      <w:r>
        <w:rPr>
          <w:rtl w:val="0"/>
          <w:lang w:val="en-US"/>
        </w:rPr>
        <w:t xml:space="preserve">On what did the following people base their belief </w:t>
      </w:r>
      <w:r>
        <w:rPr>
          <w:rtl w:val="0"/>
          <w:lang w:val="en-US"/>
        </w:rPr>
        <w:t>…</w:t>
      </w:r>
    </w:p>
    <w:p>
      <w:pPr>
        <w:pStyle w:val="Body"/>
        <w:numPr>
          <w:ilvl w:val="1"/>
          <w:numId w:val="2"/>
        </w:numPr>
        <w:spacing w:before="120"/>
        <w:rPr>
          <w:lang w:val="en-US"/>
        </w:rPr>
      </w:pPr>
      <w:r>
        <w:rPr>
          <w:b w:val="1"/>
          <w:bCs w:val="1"/>
          <w:rtl w:val="0"/>
          <w:lang w:val="en-US"/>
        </w:rPr>
        <w:t>1Ki 13:1-26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 xml:space="preserve">note esp. </w:t>
      </w:r>
      <w:r>
        <w:rPr>
          <w:b w:val="1"/>
          <w:bCs w:val="1"/>
          <w:rtl w:val="0"/>
          <w:lang w:val="en-US"/>
        </w:rPr>
        <w:t>vv7-9, 13-19,26</w:t>
      </w:r>
      <w:r>
        <w:rPr>
          <w:rtl w:val="0"/>
          <w:lang w:val="en-US"/>
        </w:rPr>
        <w:t>.</w:t>
      </w:r>
    </w:p>
    <w:p>
      <w:pPr>
        <w:pStyle w:val="Body"/>
        <w:tabs>
          <w:tab w:val="right" w:pos="10800" w:leader="underscore"/>
        </w:tabs>
        <w:spacing w:before="120"/>
      </w:pPr>
    </w:p>
    <w:p>
      <w:pPr>
        <w:pStyle w:val="Body"/>
        <w:numPr>
          <w:ilvl w:val="1"/>
          <w:numId w:val="2"/>
        </w:numPr>
        <w:spacing w:before="120"/>
        <w:rPr>
          <w:lang w:val="en-US"/>
        </w:rPr>
      </w:pPr>
      <w:r>
        <w:rPr>
          <w:b w:val="1"/>
          <w:bCs w:val="1"/>
          <w:rtl w:val="0"/>
          <w:lang w:val="en-US"/>
        </w:rPr>
        <w:t>Dt 13:1-5</w:t>
      </w:r>
      <w:r>
        <w:rPr>
          <w:rtl w:val="0"/>
          <w:lang w:val="en-US"/>
        </w:rPr>
        <w:t xml:space="preserve">; compare </w:t>
      </w:r>
      <w:r>
        <w:rPr>
          <w:b w:val="1"/>
          <w:bCs w:val="1"/>
          <w:rtl w:val="0"/>
          <w:lang w:val="en-US"/>
        </w:rPr>
        <w:t>Ac 8:9-11</w:t>
      </w:r>
      <w:r>
        <w:rPr>
          <w:rtl w:val="0"/>
          <w:lang w:val="en-US"/>
        </w:rPr>
        <w:t>.</w:t>
      </w:r>
    </w:p>
    <w:p>
      <w:pPr>
        <w:pStyle w:val="Body"/>
        <w:tabs>
          <w:tab w:val="right" w:pos="10800" w:leader="underscore"/>
        </w:tabs>
        <w:spacing w:before="120"/>
      </w:pPr>
    </w:p>
    <w:p>
      <w:pPr>
        <w:pStyle w:val="Body"/>
        <w:numPr>
          <w:ilvl w:val="0"/>
          <w:numId w:val="2"/>
        </w:numPr>
        <w:spacing w:before="120"/>
        <w:rPr>
          <w:lang w:val="en-US"/>
        </w:rPr>
      </w:pPr>
      <w:r>
        <w:rPr>
          <w:rtl w:val="0"/>
          <w:lang w:val="en-US"/>
        </w:rPr>
        <w:t xml:space="preserve">On what did the following people base their belief </w:t>
      </w:r>
      <w:r>
        <w:rPr>
          <w:rtl w:val="0"/>
          <w:lang w:val="en-US"/>
        </w:rPr>
        <w:t>…</w:t>
      </w:r>
    </w:p>
    <w:p>
      <w:pPr>
        <w:pStyle w:val="Body"/>
        <w:numPr>
          <w:ilvl w:val="1"/>
          <w:numId w:val="2"/>
        </w:numPr>
        <w:spacing w:before="120"/>
        <w:rPr>
          <w:lang w:val="en-US"/>
        </w:rPr>
      </w:pPr>
      <w:r>
        <w:rPr>
          <w:b w:val="1"/>
          <w:bCs w:val="1"/>
          <w:rtl w:val="0"/>
          <w:lang w:val="en-US"/>
        </w:rPr>
        <w:t>Mark 7:3-5</w:t>
      </w:r>
    </w:p>
    <w:p>
      <w:pPr>
        <w:pStyle w:val="Body"/>
        <w:tabs>
          <w:tab w:val="right" w:pos="10800" w:leader="underscore"/>
        </w:tabs>
        <w:spacing w:before="120"/>
        <w:ind w:left="720"/>
        <w:rPr>
          <w:b w:val="1"/>
          <w:bCs w:val="1"/>
        </w:rPr>
      </w:pPr>
    </w:p>
    <w:p>
      <w:pPr>
        <w:pStyle w:val="Body"/>
        <w:numPr>
          <w:ilvl w:val="1"/>
          <w:numId w:val="2"/>
        </w:numPr>
        <w:spacing w:before="120"/>
        <w:rPr>
          <w:lang w:val="en-US"/>
        </w:rPr>
      </w:pPr>
      <w:r>
        <w:rPr>
          <w:rtl w:val="0"/>
          <w:lang w:val="en-US"/>
        </w:rPr>
        <w:t xml:space="preserve">Compare in the Gentile world, </w:t>
      </w:r>
      <w:r>
        <w:rPr>
          <w:b w:val="1"/>
          <w:bCs w:val="1"/>
          <w:rtl w:val="0"/>
          <w:lang w:val="en-US"/>
        </w:rPr>
        <w:t>1Co 1:20-21,26-31</w:t>
      </w:r>
      <w:r>
        <w:rPr>
          <w:rtl w:val="0"/>
          <w:lang w:val="en-US"/>
        </w:rPr>
        <w:t>.</w:t>
      </w:r>
    </w:p>
    <w:sectPr>
      <w:headerReference w:type="default" r:id="rId4"/>
      <w:footerReference w:type="default" r:id="rId5"/>
      <w:pgSz w:w="12240" w:h="15840" w:orient="portrait"/>
      <w:pgMar w:top="1440" w:right="720" w:bottom="720" w:left="72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Black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5400"/>
        <w:tab w:val="right" w:pos="10800"/>
        <w:tab w:val="clear" w:pos="9020"/>
      </w:tabs>
      <w:jc w:val="left"/>
    </w:pPr>
    <w:r>
      <w:tab/>
      <w:tab/>
    </w:r>
    <w:r>
      <w:rPr>
        <w:rtl w:val="0"/>
        <w:lang w:val="en-US"/>
      </w:rPr>
      <w:t xml:space="preserve">Page </w:t>
    </w:r>
    <w:r>
      <w:rPr/>
      <w:fldChar w:fldCharType="begin" w:fldLock="0"/>
    </w:r>
    <w:r>
      <w:instrText xml:space="preserve"> PAGE </w:instrText>
    </w:r>
    <w:r>
      <w:rPr/>
      <w:fldChar w:fldCharType="separate" w:fldLock="0"/>
    </w:r>
    <w:r/>
    <w:r>
      <w:rPr/>
      <w:fldChar w:fldCharType="end" w:fldLock="0"/>
    </w:r>
    <w:r>
      <w:rPr>
        <w:rtl w:val="0"/>
        <w:lang w:val="en-US"/>
      </w:rPr>
      <w:t xml:space="preserve"> of </w:t>
    </w:r>
    <w:r>
      <w:rPr/>
      <w:fldChar w:fldCharType="begin" w:fldLock="0"/>
    </w:r>
    <w:r>
      <w:instrText xml:space="preserve"> NUMPAGES </w:instrText>
    </w:r>
    <w:r>
      <w:rPr/>
      <w:fldChar w:fldCharType="separate" w:fldLock="0"/>
    </w:r>
    <w:r/>
    <w:r>
      <w:rPr/>
      <w:fldChar w:fldCharType="end" w:fldLock="0"/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bered"/>
  </w:abstractNum>
  <w:abstractNum w:abstractNumId="1">
    <w:multiLevelType w:val="hybridMultilevel"/>
    <w:styleLink w:val="Numbered"/>
    <w:lvl w:ilvl="0">
      <w:start w:val="1"/>
      <w:numFmt w:val="decimal"/>
      <w:suff w:val="tab"/>
      <w:lvlText w:val="%1."/>
      <w:lvlJc w:val="left"/>
      <w:pPr>
        <w:tabs>
          <w:tab w:val="right" w:pos="10800" w:leader="underscore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right" w:pos="10800" w:leader="underscore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right" w:pos="10800" w:leader="underscore"/>
        </w:tabs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right" w:pos="10800" w:leader="underscore"/>
        </w:tabs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right" w:pos="10800" w:leader="underscore"/>
        </w:tabs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right" w:pos="10800" w:leader="underscore"/>
        </w:tabs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right" w:pos="10800" w:leader="underscore"/>
        </w:tabs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right" w:pos="10800" w:leader="underscore"/>
        </w:tabs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right" w:pos="10800" w:leader="underscore"/>
        </w:tabs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6"/>
      <w:szCs w:val="2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Numbered">
    <w:name w:val="Numbered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3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